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37"/>
        <w:shd w:val="clear" w:color="auto" w:fill="auto"/>
      </w:pPr>
      <w:r>
        <w:t xml:space="preserve">1. Общая информация</w:t>
      </w:r>
      <w:r/>
    </w:p>
    <w:tbl>
      <w:tblPr>
        <w:tblStyle w:val="838"/>
        <w:tblW w:w="9776" w:type="dxa"/>
        <w:tblLook w:val="04A0" w:firstRow="1" w:lastRow="0" w:firstColumn="1" w:lastColumn="0" w:noHBand="0" w:noVBand="1"/>
      </w:tblPr>
      <w:tblGrid>
        <w:gridCol w:w="562"/>
        <w:gridCol w:w="2268"/>
        <w:gridCol w:w="6946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841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0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946" w:type="dxa"/>
            <w:vAlign w:val="center"/>
            <w:textDirection w:val="lrTb"/>
            <w:noWrap w:val="false"/>
          </w:tcPr>
          <w:p>
            <w:pPr>
              <w:pStyle w:val="841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0"/>
              </w:rPr>
              <w:t xml:space="preserve">Информация по лоту</w:t>
            </w:r>
            <w:r/>
          </w:p>
        </w:tc>
      </w:tr>
      <w:tr>
        <w:tblPrEx/>
        <w:trPr>
          <w:trHeight w:val="1336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 xml:space="preserve">1.1.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before="200" w:after="0" w:line="57" w:lineRule="atLeast"/>
              <w:rPr>
                <w:bCs/>
                <w:i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t xml:space="preserve">ОКПД2: 71.12.19.100 Выполнение проектных работ по объекту «Реконструкция системы гидрозолоудаления энергоблоков ст. № 1,2,3 Нерюнгринской ГРЭС» в рамках реализации инвестиционного проекта Q_505-НГ-161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 xml:space="preserve">1.2.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 xml:space="preserve">Номер лота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  <w:tc>
          <w:tcPr>
            <w:tcW w:w="6946" w:type="dxa"/>
            <w:vAlign w:val="center"/>
            <w:textDirection w:val="lrTb"/>
            <w:noWrap w:val="false"/>
          </w:tcPr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lang w:eastAsia="ru-RU"/>
              </w:rPr>
              <w:t xml:space="preserve">22123027-ТПИР ОБСЛ-2025-ДГК-НерГРЭС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69"/>
        </w:trPr>
        <w:tc>
          <w:tcPr>
            <w:shd w:val="clear" w:color="auto" w:fill="ffffff"/>
            <w:tcBorders>
              <w:top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pStyle w:val="841"/>
              <w:ind w:firstLine="0"/>
              <w:jc w:val="center"/>
              <w:spacing w:after="0" w:line="244" w:lineRule="exact"/>
              <w:shd w:val="clear" w:color="auto" w:fill="auto"/>
              <w:rPr>
                <w:bCs w:val="0"/>
                <w:i w:val="0"/>
              </w:rPr>
            </w:pPr>
            <w:r>
              <w:rPr>
                <w:rStyle w:val="840"/>
                <w:i w:val="0"/>
                <w:iCs w:val="0"/>
              </w:rPr>
              <w:t xml:space="preserve">1.3.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841"/>
              <w:ind w:firstLine="0"/>
              <w:jc w:val="left"/>
              <w:spacing w:after="0" w:line="244" w:lineRule="exact"/>
              <w:shd w:val="clear" w:color="auto" w:fill="auto"/>
              <w:rPr>
                <w:bCs w:val="0"/>
                <w:i w:val="0"/>
              </w:rPr>
            </w:pPr>
            <w:r>
              <w:rPr>
                <w:rStyle w:val="840"/>
                <w:i w:val="0"/>
                <w:iCs w:val="0"/>
              </w:rPr>
              <w:t xml:space="preserve">НМЦ лота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  <w:tc>
          <w:tcPr>
            <w:tcW w:w="694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3 670 000,00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 рублей без учета НДС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</w:p>
        </w:tc>
      </w:tr>
    </w:tbl>
    <w:p>
      <w:pPr>
        <w:rPr>
          <w:bCs w:val="0"/>
          <w:i w:val="0"/>
        </w:rPr>
      </w:pPr>
      <w:r>
        <w:rPr>
          <w:i w:val="0"/>
          <w:iCs w:val="0"/>
        </w:rPr>
      </w:r>
      <w:r>
        <w:rPr>
          <w:bCs w:val="0"/>
          <w:i w:val="0"/>
        </w:rPr>
      </w:r>
      <w:r>
        <w:rPr>
          <w:bCs w:val="0"/>
          <w:i w:val="0"/>
        </w:rPr>
      </w:r>
    </w:p>
    <w:p>
      <w:pPr>
        <w:rPr>
          <w:rFonts w:ascii="Times New Roman" w:hAnsi="Times New Roman" w:cs="Times New Roman"/>
          <w:b/>
          <w:i w:val="0"/>
          <w:iCs w:val="0"/>
          <w:sz w:val="26"/>
          <w:szCs w:val="26"/>
        </w:rPr>
      </w:pPr>
      <w:r>
        <w:rPr>
          <w:rFonts w:ascii="Times New Roman" w:hAnsi="Times New Roman" w:cs="Times New Roman"/>
          <w:b/>
          <w:i w:val="0"/>
          <w:iCs w:val="0"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i w:val="0"/>
          <w:iCs w:val="0"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i w:val="0"/>
          <w:iCs w:val="0"/>
          <w:sz w:val="26"/>
          <w:szCs w:val="26"/>
        </w:rPr>
      </w:r>
      <w:r>
        <w:rPr>
          <w:rFonts w:ascii="Times New Roman" w:hAnsi="Times New Roman" w:cs="Times New Roman"/>
          <w:b/>
          <w:i w:val="0"/>
          <w:iCs w:val="0"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eastAsia="Times New Roman" w:cs="Times New Roman"/>
          <w:i w:val="0"/>
          <w:iCs w:val="0"/>
          <w:lang w:eastAsia="ru-RU" w:bidi="ru-RU"/>
        </w:rPr>
        <w:t xml:space="preserve">Метод анализа</w:t>
      </w:r>
      <w:r>
        <w:rPr>
          <w:rFonts w:ascii="Times New Roman" w:hAnsi="Times New Roman" w:eastAsia="Times New Roman" w:cs="Times New Roman"/>
          <w:i w:val="0"/>
          <w:iCs w:val="0"/>
          <w:lang w:eastAsia="ru-RU" w:bidi="ru-RU"/>
        </w:rPr>
        <w:t xml:space="preserve">: технико-коммерческие предложения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eastAsia="Times New Roman" w:cs="Times New Roman"/>
          <w:i w:val="0"/>
          <w:iCs w:val="0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</w:r>
    </w:p>
    <w:tbl>
      <w:tblPr>
        <w:tblStyle w:val="838"/>
        <w:tblW w:w="9920" w:type="dxa"/>
        <w:tblLook w:val="04A0" w:firstRow="1" w:lastRow="0" w:firstColumn="1" w:lastColumn="0" w:noHBand="0" w:noVBand="1"/>
      </w:tblPr>
      <w:tblGrid>
        <w:gridCol w:w="2797"/>
        <w:gridCol w:w="2199"/>
        <w:gridCol w:w="1895"/>
        <w:gridCol w:w="1551"/>
        <w:gridCol w:w="1478"/>
      </w:tblGrid>
      <w:tr>
        <w:tblPrEx/>
        <w:trPr>
          <w:trHeight w:val="916"/>
        </w:trPr>
        <w:tc>
          <w:tcPr>
            <w:tcW w:w="2968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Наименование товара/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работы/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услуги в составе лота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</w:p>
        </w:tc>
        <w:tc>
          <w:tcPr>
            <w:tcW w:w="2199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Наименование источника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</w:p>
          <w:p>
            <w:pPr>
              <w:pStyle w:val="842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ценовой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</w:p>
          <w:p>
            <w:pPr>
              <w:pStyle w:val="842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информации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</w:p>
          <w:p>
            <w:pPr>
              <w:pStyle w:val="842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(ИЦИ)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</w:p>
        </w:tc>
        <w:tc>
          <w:tcPr>
            <w:tcW w:w="1895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</w:p>
        </w:tc>
        <w:tc>
          <w:tcPr>
            <w:tcW w:w="158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Цена итоговая,   в руб. без НДС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  <w:t xml:space="preserve">омментарий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>
          <w:trHeight w:val="2976"/>
        </w:trPr>
        <w:tc>
          <w:tcPr>
            <w:tcW w:w="2850" w:type="dxa"/>
            <w:vAlign w:val="center"/>
            <w:vMerge w:val="restart"/>
            <w:textDirection w:val="lrTb"/>
            <w:noWrap w:val="false"/>
          </w:tcPr>
          <w:p>
            <w:pPr>
              <w:spacing w:before="200" w:after="0" w:line="57" w:lineRule="atLeast"/>
              <w:rPr>
                <w:bCs/>
                <w:i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t xml:space="preserve">ОКПД2: 71.12.19.100 Выполнение проектных работ по объекту «Реконструкция системы гидрозолоудаления энергоблоков ст. № 1,2,3 Нерюнгринской ГРЭС» в рамках реализации инвестиционного проекта Q_505-НГ-161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  <w:p>
            <w:pPr>
              <w:spacing w:before="200" w:after="0" w:line="57" w:lineRule="atLeast"/>
              <w:rPr>
                <w:bCs/>
                <w:i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  <w:p>
            <w:pPr>
              <w:spacing w:before="200" w:after="0" w:line="57" w:lineRule="atLeas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  <w:p>
            <w:pPr>
              <w:spacing w:before="200" w:after="0" w:line="57" w:lineRule="atLeas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</w:tc>
        <w:tc>
          <w:tcPr>
            <w:tcW w:w="22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ТКП №1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ООО "ФИРМА ПО НАЛАДКЕ, СОВЕРШЕНСТВОВАНИЮ ТЕХНОЛОГИИ И ЭКСПЛУАТАЦИИ ЭЛЕКТРОСТАНЦИЙ И СЕТЕЙ ОРГРЭС"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№ФО-403 от 22.05.2025г.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8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  <w:t xml:space="preserve">3 670 000,00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bCs w:val="0"/>
                <w:i w:val="0"/>
                <w14:ligatures w14:val="none"/>
              </w:rPr>
            </w:r>
          </w:p>
        </w:tc>
        <w:tc>
          <w:tcPr>
            <w:tcW w:w="15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ff000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  <w:t xml:space="preserve">Наименьшее значение полученных ТКП 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  <w:t xml:space="preserve">3 670 000,00 рублей без учета НДС</w:t>
            </w:r>
            <w:r>
              <w:rPr>
                <w:rFonts w:ascii="Times New Roman" w:hAnsi="Times New Roman" w:cs="Times New Roman"/>
                <w:bCs w:val="0"/>
                <w:i w:val="0"/>
                <w:color w:val="ff0000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ff0000"/>
              </w:rPr>
            </w:r>
          </w:p>
        </w:tc>
        <w:tc>
          <w:tcPr>
            <w:tcW w:w="14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Приказ Минстроя РФ от 04.08.2020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№ 421/пр</w:t>
            </w: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trHeight w:val="2125"/>
        </w:trPr>
        <w:tc>
          <w:tcPr>
            <w:tcW w:w="278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ТКП №2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  <w:t xml:space="preserve">ООО "КОТЭС ИНЖИНИРИНГ"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№ИСХ-872/05-25 от 26.05.2025г.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tcW w:w="18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  <w:t xml:space="preserve">13 500 000,00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bCs w:val="0"/>
                <w:i w:val="0"/>
                <w14:ligatures w14:val="none"/>
              </w:rPr>
            </w:r>
          </w:p>
        </w:tc>
        <w:tc>
          <w:tcPr>
            <w:tcW w:w="149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851" w:right="851" w:bottom="851" w:left="130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0"/>
    <w:uiPriority w:val="34"/>
    <w:qFormat/>
    <w:pPr>
      <w:contextualSpacing/>
      <w:ind w:left="720"/>
    </w:pPr>
  </w:style>
  <w:style w:type="paragraph" w:styleId="673">
    <w:name w:val="Title"/>
    <w:basedOn w:val="830"/>
    <w:next w:val="830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30"/>
    <w:next w:val="830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30"/>
    <w:next w:val="830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0"/>
    <w:next w:val="830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0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1"/>
    <w:link w:val="681"/>
    <w:uiPriority w:val="99"/>
  </w:style>
  <w:style w:type="paragraph" w:styleId="683">
    <w:name w:val="Footer"/>
    <w:basedOn w:val="830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1"/>
    <w:link w:val="683"/>
    <w:uiPriority w:val="99"/>
  </w:style>
  <w:style w:type="paragraph" w:styleId="685">
    <w:name w:val="Caption"/>
    <w:basedOn w:val="830"/>
    <w:next w:val="830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683"/>
    <w:uiPriority w:val="99"/>
  </w:style>
  <w:style w:type="table" w:styleId="687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Основной текст (14)_"/>
    <w:basedOn w:val="831"/>
    <w:link w:val="835"/>
    <w:rPr>
      <w:rFonts w:ascii="Times New Roman" w:hAnsi="Times New Roman" w:eastAsia="Times New Roman" w:cs="Times New Roman"/>
      <w:shd w:val="clear" w:color="auto" w:fill="ffffff"/>
    </w:rPr>
  </w:style>
  <w:style w:type="paragraph" w:styleId="835" w:customStyle="1">
    <w:name w:val="Основной текст (14)"/>
    <w:basedOn w:val="830"/>
    <w:link w:val="834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6" w:customStyle="1">
    <w:name w:val="Подпись к таблице (2)_"/>
    <w:basedOn w:val="831"/>
    <w:link w:val="837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37" w:customStyle="1">
    <w:name w:val="Подпись к таблице (2)"/>
    <w:basedOn w:val="830"/>
    <w:link w:val="836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38">
    <w:name w:val="Table Grid"/>
    <w:basedOn w:val="83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9" w:customStyle="1">
    <w:name w:val="Основной текст (2)_"/>
    <w:basedOn w:val="831"/>
    <w:link w:val="841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0" w:customStyle="1">
    <w:name w:val="Основной текст (2) + 11 pt"/>
    <w:basedOn w:val="839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1" w:customStyle="1">
    <w:name w:val="Основной текст (2)"/>
    <w:basedOn w:val="830"/>
    <w:link w:val="839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842">
    <w:name w:val="No Spacing"/>
    <w:uiPriority w:val="1"/>
    <w:qFormat/>
    <w:pPr>
      <w:spacing w:after="0" w:line="240" w:lineRule="auto"/>
    </w:pPr>
  </w:style>
  <w:style w:type="paragraph" w:styleId="843">
    <w:name w:val="Balloon Text"/>
    <w:basedOn w:val="830"/>
    <w:link w:val="84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4" w:customStyle="1">
    <w:name w:val="Текст выноски Знак"/>
    <w:basedOn w:val="831"/>
    <w:link w:val="84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timirshaekhov_aa</cp:lastModifiedBy>
  <cp:revision>13</cp:revision>
  <dcterms:created xsi:type="dcterms:W3CDTF">2022-12-29T01:26:00Z</dcterms:created>
  <dcterms:modified xsi:type="dcterms:W3CDTF">2025-07-24T01:05:24Z</dcterms:modified>
</cp:coreProperties>
</file>